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84" w:rsidRPr="00925A84" w:rsidRDefault="00925A84" w:rsidP="00925A84">
      <w:pPr>
        <w:rPr>
          <w:b/>
          <w:bCs/>
        </w:rPr>
      </w:pPr>
      <w:bookmarkStart w:id="0" w:name="_GoBack"/>
      <w:bookmarkEnd w:id="0"/>
    </w:p>
    <w:p w:rsidR="00925A84" w:rsidRPr="007A017D" w:rsidRDefault="00925A84" w:rsidP="007A01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7D">
        <w:rPr>
          <w:rFonts w:ascii="Times New Roman" w:hAnsi="Times New Roman" w:cs="Times New Roman"/>
          <w:bCs/>
          <w:sz w:val="28"/>
          <w:szCs w:val="28"/>
        </w:rPr>
        <w:t>ООО приобрело в собственность здание в соответствии с Федеральным законом "О приватизации государственного и муниципального имущества". Участок, необходимый для эксплуатации здания, находится в госсобственности. Росимущество отказало в предоставлении в собственность ООО земельного участка в соответствии со ст. 36 ЗК РФ, мотивировав отказ тем, что участок предназначен для эксплуатации автодороги и ограничен в обороте в силу закона. Правомерны ли действия Росимущества?</w:t>
      </w:r>
    </w:p>
    <w:p w:rsidR="00925A84" w:rsidRPr="007A017D" w:rsidRDefault="00925A84" w:rsidP="007A017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A84" w:rsidRPr="007A017D" w:rsidRDefault="00925A84" w:rsidP="007A01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7D">
        <w:rPr>
          <w:rFonts w:ascii="Times New Roman" w:hAnsi="Times New Roman" w:cs="Times New Roman"/>
          <w:bCs/>
          <w:sz w:val="28"/>
          <w:szCs w:val="28"/>
        </w:rPr>
        <w:t>В адрес управления ФАС России поступило заявление о факте использования ООО "Медуслуги" фирменного наименования, схожего до степени смешения с фирменным наименованием заявителя - ООО МЦ "Медуслуги", которое включено в ЕГРЮЛ ранее. Обе организации находятся в городе N и оказывают медуслуги в качестве уставной деятельности. Можно ли использование фирменного наименования ООО "Медуслуги" квалифицировать как недобросовестную конкуренцию?</w:t>
      </w:r>
    </w:p>
    <w:p w:rsidR="00925A84" w:rsidRPr="00925A84" w:rsidRDefault="00925A84" w:rsidP="00925A84">
      <w:pPr>
        <w:rPr>
          <w:b/>
          <w:bCs/>
        </w:rPr>
      </w:pPr>
    </w:p>
    <w:p w:rsidR="00925A84" w:rsidRPr="007A017D" w:rsidRDefault="00925A84" w:rsidP="007A01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17D">
        <w:rPr>
          <w:rFonts w:ascii="Times New Roman" w:hAnsi="Times New Roman" w:cs="Times New Roman"/>
          <w:sz w:val="28"/>
          <w:szCs w:val="28"/>
        </w:rPr>
        <w:t>Найдите в законодательстве и впишите в предложенную таблицу лицензионные требования, установленные для следующих видов предпринимательской деятельности:</w:t>
      </w:r>
    </w:p>
    <w:p w:rsidR="00925A84" w:rsidRPr="007A017D" w:rsidRDefault="00925A84" w:rsidP="007A0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A84" w:rsidRPr="00925A84" w:rsidRDefault="00925A84" w:rsidP="00925A84"/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27"/>
        <w:gridCol w:w="2923"/>
        <w:gridCol w:w="2901"/>
      </w:tblGrid>
      <w:tr w:rsidR="00925A84" w:rsidRPr="00925A84" w:rsidTr="00D86150">
        <w:tc>
          <w:tcPr>
            <w:tcW w:w="3027" w:type="dxa"/>
          </w:tcPr>
          <w:p w:rsidR="00925A84" w:rsidRPr="00925A84" w:rsidRDefault="00925A84" w:rsidP="00925A84">
            <w:pPr>
              <w:spacing w:after="200" w:line="276" w:lineRule="auto"/>
            </w:pPr>
            <w:r w:rsidRPr="00925A84">
              <w:t>Вид деятельности</w:t>
            </w:r>
          </w:p>
        </w:tc>
        <w:tc>
          <w:tcPr>
            <w:tcW w:w="2923" w:type="dxa"/>
          </w:tcPr>
          <w:p w:rsidR="00925A84" w:rsidRPr="00925A84" w:rsidRDefault="00925A84" w:rsidP="00925A84">
            <w:pPr>
              <w:spacing w:after="200" w:line="276" w:lineRule="auto"/>
            </w:pPr>
            <w:r w:rsidRPr="00925A84">
              <w:t>Лицензионные требования</w:t>
            </w:r>
          </w:p>
        </w:tc>
        <w:tc>
          <w:tcPr>
            <w:tcW w:w="2901" w:type="dxa"/>
          </w:tcPr>
          <w:p w:rsidR="00925A84" w:rsidRPr="00925A84" w:rsidRDefault="00925A84" w:rsidP="00925A84">
            <w:pPr>
              <w:spacing w:after="200" w:line="276" w:lineRule="auto"/>
            </w:pPr>
            <w:r w:rsidRPr="00925A84">
              <w:t>Нормативный акт</w:t>
            </w:r>
          </w:p>
        </w:tc>
      </w:tr>
      <w:tr w:rsidR="00925A84" w:rsidRPr="00925A84" w:rsidTr="00D86150">
        <w:tc>
          <w:tcPr>
            <w:tcW w:w="3027" w:type="dxa"/>
          </w:tcPr>
          <w:p w:rsidR="00925A84" w:rsidRPr="00925A84" w:rsidRDefault="00925A84" w:rsidP="00925A84">
            <w:pPr>
              <w:spacing w:after="200" w:line="276" w:lineRule="auto"/>
            </w:pPr>
            <w:r w:rsidRPr="00925A84">
              <w:t>Деятельность инвестиционных фондов</w:t>
            </w:r>
          </w:p>
        </w:tc>
        <w:tc>
          <w:tcPr>
            <w:tcW w:w="2923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  <w:tc>
          <w:tcPr>
            <w:tcW w:w="2901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</w:tr>
      <w:tr w:rsidR="00925A84" w:rsidRPr="00925A84" w:rsidTr="00D86150">
        <w:tc>
          <w:tcPr>
            <w:tcW w:w="3027" w:type="dxa"/>
          </w:tcPr>
          <w:p w:rsidR="00925A84" w:rsidRPr="00925A84" w:rsidRDefault="00925A84" w:rsidP="00925A84">
            <w:pPr>
              <w:spacing w:after="200" w:line="276" w:lineRule="auto"/>
            </w:pPr>
            <w:r w:rsidRPr="00925A84">
              <w:t>Фармацевтическая деятельность</w:t>
            </w:r>
          </w:p>
        </w:tc>
        <w:tc>
          <w:tcPr>
            <w:tcW w:w="2923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  <w:tc>
          <w:tcPr>
            <w:tcW w:w="2901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</w:tr>
      <w:tr w:rsidR="00925A84" w:rsidRPr="00925A84" w:rsidTr="00D86150">
        <w:tc>
          <w:tcPr>
            <w:tcW w:w="3027" w:type="dxa"/>
          </w:tcPr>
          <w:p w:rsidR="00925A84" w:rsidRPr="00925A84" w:rsidRDefault="00925A84" w:rsidP="00925A84">
            <w:pPr>
              <w:spacing w:after="200" w:line="276" w:lineRule="auto"/>
            </w:pPr>
            <w:r w:rsidRPr="00925A84">
              <w:t>Перевозки морским транспортом грузов</w:t>
            </w:r>
          </w:p>
          <w:p w:rsidR="00925A84" w:rsidRPr="00925A84" w:rsidRDefault="00925A84" w:rsidP="00925A84">
            <w:pPr>
              <w:spacing w:after="200" w:line="276" w:lineRule="auto"/>
            </w:pPr>
          </w:p>
        </w:tc>
        <w:tc>
          <w:tcPr>
            <w:tcW w:w="2923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  <w:tc>
          <w:tcPr>
            <w:tcW w:w="2901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</w:tr>
      <w:tr w:rsidR="00925A84" w:rsidRPr="00925A84" w:rsidTr="00D86150">
        <w:tc>
          <w:tcPr>
            <w:tcW w:w="3027" w:type="dxa"/>
          </w:tcPr>
          <w:p w:rsidR="00925A84" w:rsidRPr="00925A84" w:rsidRDefault="00925A84" w:rsidP="00925A84">
            <w:pPr>
              <w:spacing w:after="200" w:line="276" w:lineRule="auto"/>
            </w:pPr>
            <w:r w:rsidRPr="00925A84">
              <w:t xml:space="preserve">Перевозки воздушным </w:t>
            </w:r>
            <w:r w:rsidRPr="00925A84">
              <w:lastRenderedPageBreak/>
              <w:t>транспортом пассажиров</w:t>
            </w:r>
          </w:p>
        </w:tc>
        <w:tc>
          <w:tcPr>
            <w:tcW w:w="2923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  <w:tc>
          <w:tcPr>
            <w:tcW w:w="2901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</w:tr>
      <w:tr w:rsidR="00925A84" w:rsidRPr="00925A84" w:rsidTr="00D86150">
        <w:tc>
          <w:tcPr>
            <w:tcW w:w="3027" w:type="dxa"/>
          </w:tcPr>
          <w:p w:rsidR="00925A84" w:rsidRPr="00925A84" w:rsidRDefault="00925A84" w:rsidP="00925A84">
            <w:pPr>
              <w:spacing w:after="200" w:line="276" w:lineRule="auto"/>
            </w:pPr>
            <w:r w:rsidRPr="00925A84">
              <w:lastRenderedPageBreak/>
              <w:t>Заготовка, переработка и реализация лома черных металлов</w:t>
            </w:r>
          </w:p>
        </w:tc>
        <w:tc>
          <w:tcPr>
            <w:tcW w:w="2923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  <w:tc>
          <w:tcPr>
            <w:tcW w:w="2901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</w:tr>
      <w:tr w:rsidR="00925A84" w:rsidRPr="00925A84" w:rsidTr="00D86150">
        <w:tc>
          <w:tcPr>
            <w:tcW w:w="3027" w:type="dxa"/>
          </w:tcPr>
          <w:p w:rsidR="00925A84" w:rsidRPr="00925A84" w:rsidRDefault="00925A84" w:rsidP="00925A84">
            <w:pPr>
              <w:spacing w:after="200" w:line="276" w:lineRule="auto"/>
            </w:pPr>
            <w:r w:rsidRPr="00925A84">
              <w:t>Производство лекарственных средств</w:t>
            </w:r>
          </w:p>
        </w:tc>
        <w:tc>
          <w:tcPr>
            <w:tcW w:w="2923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  <w:tc>
          <w:tcPr>
            <w:tcW w:w="2901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</w:tr>
      <w:tr w:rsidR="00925A84" w:rsidRPr="00925A84" w:rsidTr="00D86150">
        <w:tc>
          <w:tcPr>
            <w:tcW w:w="3027" w:type="dxa"/>
          </w:tcPr>
          <w:p w:rsidR="00925A84" w:rsidRPr="00925A84" w:rsidRDefault="00925A84" w:rsidP="00925A84">
            <w:pPr>
              <w:spacing w:after="200" w:line="276" w:lineRule="auto"/>
            </w:pPr>
            <w:r w:rsidRPr="00925A84">
              <w:t>Производство медицинской техники</w:t>
            </w:r>
          </w:p>
        </w:tc>
        <w:tc>
          <w:tcPr>
            <w:tcW w:w="2923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  <w:tc>
          <w:tcPr>
            <w:tcW w:w="2901" w:type="dxa"/>
          </w:tcPr>
          <w:p w:rsidR="00925A84" w:rsidRPr="00925A84" w:rsidRDefault="00925A84" w:rsidP="00925A84">
            <w:pPr>
              <w:spacing w:after="200" w:line="276" w:lineRule="auto"/>
            </w:pPr>
          </w:p>
        </w:tc>
      </w:tr>
    </w:tbl>
    <w:p w:rsidR="00925A84" w:rsidRPr="00925A84" w:rsidRDefault="00925A84" w:rsidP="00925A84"/>
    <w:p w:rsidR="00925A84" w:rsidRPr="00925A84" w:rsidRDefault="00925A84" w:rsidP="00925A84"/>
    <w:p w:rsidR="00925A84" w:rsidRPr="007A017D" w:rsidRDefault="00925A84" w:rsidP="007A01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17D">
        <w:rPr>
          <w:rFonts w:ascii="Times New Roman" w:hAnsi="Times New Roman" w:cs="Times New Roman"/>
          <w:sz w:val="28"/>
          <w:szCs w:val="28"/>
        </w:rPr>
        <w:t>Сделка купли-продажи акций, для совершения которой требовалось предварительное согласие ФАС России, заключена и исполнена без такого разрешения. Возможно ли получение последующего согласия от ФАС России? Можно ли обжаловать отказ ФАС России в согласовании сделки по причине того, что сделка заключена без предварительного согласия? Кто может оспорить такую сделку?</w:t>
      </w:r>
    </w:p>
    <w:p w:rsidR="00925A84" w:rsidRPr="007A017D" w:rsidRDefault="00925A84" w:rsidP="007A017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17D">
        <w:rPr>
          <w:rFonts w:ascii="Times New Roman" w:hAnsi="Times New Roman" w:cs="Times New Roman"/>
          <w:sz w:val="28"/>
          <w:szCs w:val="28"/>
        </w:rPr>
        <w:t>Организация (поставщик), занимающая доминирующее положение на рынке предоставления электрической энергии, заключила договор с ТСЖ о предоставлении электрической энергии. Организация выставляла счета за использование электрической энергии, не основываясь на показаниях приборов учета. Антимонопольный орган вынес предписание с требованием прекратить нарушение законодательства о конкуренции и произвести перерасчет электрической энергии на основании Правил применения тарифов на электрическую энергию. Вправе ли антимонопольный орган выдавать предписание о произведении перерасчета за использование электрической энергии?</w:t>
      </w:r>
    </w:p>
    <w:p w:rsidR="00925A84" w:rsidRPr="007A017D" w:rsidRDefault="00925A84" w:rsidP="007A017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17D">
        <w:rPr>
          <w:rFonts w:ascii="Times New Roman" w:hAnsi="Times New Roman" w:cs="Times New Roman"/>
          <w:sz w:val="28"/>
          <w:szCs w:val="28"/>
        </w:rPr>
        <w:t>Конкурирующие организации планируют заключить между собой соглашение, в силу которого организация А поставляет организации Б программное обеспечение для ЭВМ. Будет ли данное соглашение являться "вертикальным" соглашением?</w:t>
      </w:r>
    </w:p>
    <w:p w:rsidR="00925A84" w:rsidRPr="007A017D" w:rsidRDefault="00925A84" w:rsidP="007A017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17D">
        <w:rPr>
          <w:rFonts w:ascii="Times New Roman" w:hAnsi="Times New Roman" w:cs="Times New Roman"/>
          <w:sz w:val="28"/>
          <w:szCs w:val="28"/>
        </w:rPr>
        <w:t xml:space="preserve">В ходе проведения экономического анализа организация-холдинг приняла решение о сокращении в своем дочернем обществе производства определенного товара и перехода на производство другого (непрофильного) товара. Будет ли подпадать данная </w:t>
      </w:r>
      <w:r w:rsidRPr="007A017D">
        <w:rPr>
          <w:rFonts w:ascii="Times New Roman" w:hAnsi="Times New Roman" w:cs="Times New Roman"/>
          <w:sz w:val="28"/>
          <w:szCs w:val="28"/>
        </w:rPr>
        <w:lastRenderedPageBreak/>
        <w:t>деятельность под злоупотребление хозяйствующим субъектом доминирующим положением?</w:t>
      </w:r>
    </w:p>
    <w:p w:rsidR="00697641" w:rsidRDefault="00697641"/>
    <w:sectPr w:rsidR="0069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CE2"/>
    <w:multiLevelType w:val="hybridMultilevel"/>
    <w:tmpl w:val="3A16B116"/>
    <w:lvl w:ilvl="0" w:tplc="9E04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E4204"/>
    <w:multiLevelType w:val="hybridMultilevel"/>
    <w:tmpl w:val="EC9C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7970"/>
    <w:multiLevelType w:val="hybridMultilevel"/>
    <w:tmpl w:val="9B3E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2668"/>
    <w:multiLevelType w:val="hybridMultilevel"/>
    <w:tmpl w:val="EC9C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8"/>
    <w:rsid w:val="00697641"/>
    <w:rsid w:val="007A017D"/>
    <w:rsid w:val="00925A84"/>
    <w:rsid w:val="00F13A65"/>
    <w:rsid w:val="00F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5A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0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5A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Григорович</dc:creator>
  <cp:lastModifiedBy>sony</cp:lastModifiedBy>
  <cp:revision>2</cp:revision>
  <dcterms:created xsi:type="dcterms:W3CDTF">2016-05-20T07:44:00Z</dcterms:created>
  <dcterms:modified xsi:type="dcterms:W3CDTF">2016-05-20T07:44:00Z</dcterms:modified>
</cp:coreProperties>
</file>